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EAA4" w14:textId="77777777" w:rsidR="00F86AE5" w:rsidRDefault="00000000">
      <w:pPr>
        <w:spacing w:after="0"/>
        <w:ind w:left="2582" w:hanging="10"/>
      </w:pPr>
      <w:r>
        <w:t xml:space="preserve">Universidad Juárez Autónoma de Tabasco  </w:t>
      </w:r>
    </w:p>
    <w:p w14:paraId="395075F0" w14:textId="77777777" w:rsidR="00F86AE5" w:rsidRDefault="00000000">
      <w:pPr>
        <w:spacing w:after="0"/>
        <w:ind w:left="2021" w:hanging="10"/>
      </w:pPr>
      <w:r>
        <w:t xml:space="preserve">División de Ciencias Económico Administrativas (CUC)  </w:t>
      </w:r>
    </w:p>
    <w:p w14:paraId="5EC9424A" w14:textId="77777777" w:rsidR="00F86AE5" w:rsidRDefault="00000000">
      <w:pPr>
        <w:spacing w:after="86"/>
        <w:ind w:right="785"/>
        <w:jc w:val="center"/>
      </w:pPr>
      <w:r>
        <w:t xml:space="preserve">  </w:t>
      </w:r>
    </w:p>
    <w:p w14:paraId="6A01035F" w14:textId="77777777" w:rsidR="00F86AE5" w:rsidRDefault="00000000">
      <w:pPr>
        <w:spacing w:after="0"/>
        <w:ind w:left="2522"/>
      </w:pPr>
      <w:r>
        <w:rPr>
          <w:rFonts w:ascii="Arial" w:eastAsia="Arial" w:hAnsi="Arial" w:cs="Arial"/>
          <w:b/>
          <w:sz w:val="28"/>
        </w:rPr>
        <w:t xml:space="preserve">Ficha de Visionado de Vídeo </w:t>
      </w:r>
      <w:r>
        <w:t xml:space="preserve"> </w:t>
      </w:r>
    </w:p>
    <w:tbl>
      <w:tblPr>
        <w:tblStyle w:val="TableGrid"/>
        <w:tblW w:w="10925" w:type="dxa"/>
        <w:tblInd w:w="-1176" w:type="dxa"/>
        <w:tblLayout w:type="fixed"/>
        <w:tblCellMar>
          <w:top w:w="81" w:type="dxa"/>
        </w:tblCellMar>
        <w:tblLook w:val="04A0" w:firstRow="1" w:lastRow="0" w:firstColumn="1" w:lastColumn="0" w:noHBand="0" w:noVBand="1"/>
      </w:tblPr>
      <w:tblGrid>
        <w:gridCol w:w="4290"/>
        <w:gridCol w:w="2432"/>
        <w:gridCol w:w="1759"/>
        <w:gridCol w:w="2444"/>
      </w:tblGrid>
      <w:tr w:rsidR="0083709C" w14:paraId="3ABF1A7E" w14:textId="77777777" w:rsidTr="00B450E5">
        <w:trPr>
          <w:trHeight w:val="665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255" w14:textId="77777777" w:rsidR="00F86AE5" w:rsidRDefault="00000000">
            <w:pPr>
              <w:ind w:left="1272" w:hanging="96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Datos generales e imagen del vídeo </w:t>
            </w: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328" w14:textId="77777777" w:rsidR="00F86AE5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Reseña </w:t>
            </w: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6BEC" w14:textId="77777777" w:rsidR="00F86AE5" w:rsidRDefault="00000000">
            <w:pPr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Problema(s) que aborda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723" w14:textId="77777777" w:rsidR="00F86AE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¿Dónde aplicarías este conocimiento? </w:t>
            </w:r>
          </w:p>
        </w:tc>
      </w:tr>
      <w:tr w:rsidR="0083709C" w14:paraId="6165A5EB" w14:textId="77777777" w:rsidTr="00B450E5">
        <w:trPr>
          <w:trHeight w:val="1011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721" w14:textId="77777777" w:rsidR="00F86AE5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4917C148" w14:textId="77777777" w:rsidR="00F86AE5" w:rsidRDefault="00000000">
            <w:pPr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2F5ECE42" w14:textId="77777777" w:rsidR="00F86AE5" w:rsidRDefault="00000000">
            <w:pPr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61A0F8B3" w14:textId="77777777" w:rsidR="00B450E5" w:rsidRPr="00B450E5" w:rsidRDefault="00B450E5" w:rsidP="00B450E5">
            <w:pPr>
              <w:spacing w:after="5" w:line="257" w:lineRule="auto"/>
              <w:jc w:val="center"/>
              <w:rPr>
                <w:rFonts w:ascii="Arial" w:eastAsia="Arial" w:hAnsi="Arial" w:cs="Arial"/>
                <w:b/>
                <w:bCs/>
                <w:sz w:val="28"/>
              </w:rPr>
            </w:pPr>
            <w:r w:rsidRPr="00B450E5">
              <w:rPr>
                <w:rFonts w:ascii="Arial" w:eastAsia="Arial" w:hAnsi="Arial" w:cs="Arial"/>
                <w:b/>
                <w:bCs/>
                <w:sz w:val="28"/>
              </w:rPr>
              <w:t>Educación Presupuestaria EP 19: ¿Qué es la estructura programática?</w:t>
            </w:r>
          </w:p>
          <w:p w14:paraId="17BEAC79" w14:textId="77777777" w:rsidR="00F86AE5" w:rsidRDefault="00000000">
            <w:pPr>
              <w:spacing w:after="2"/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EB6033" w14:textId="77777777" w:rsidR="00F86AE5" w:rsidRDefault="00000000">
            <w:pPr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8D62785" w14:textId="23CD2343" w:rsidR="00F86AE5" w:rsidRDefault="00B450E5">
            <w:pPr>
              <w:spacing w:after="187"/>
              <w:ind w:left="-15"/>
            </w:pPr>
            <w:r>
              <w:rPr>
                <w:noProof/>
              </w:rPr>
              <w:drawing>
                <wp:inline distT="0" distB="0" distL="0" distR="0" wp14:anchorId="17168C8C" wp14:editId="14ECB477">
                  <wp:extent cx="2374392" cy="1158240"/>
                  <wp:effectExtent l="0" t="0" r="6985" b="3810"/>
                  <wp:docPr id="2589252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40" cy="1163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B6EC7C" w14:textId="77777777" w:rsidR="00F86AE5" w:rsidRPr="0083709C" w:rsidRDefault="00000000">
            <w:pPr>
              <w:spacing w:after="2"/>
              <w:ind w:left="153"/>
              <w:jc w:val="center"/>
            </w:pPr>
            <w:r w:rsidRPr="0083709C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69B42B7" w14:textId="77777777" w:rsidR="00F86AE5" w:rsidRPr="0083709C" w:rsidRDefault="00000000">
            <w:pPr>
              <w:ind w:left="233"/>
              <w:jc w:val="center"/>
            </w:pPr>
            <w:r w:rsidRPr="0083709C"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  <w:p w14:paraId="7D5B2F02" w14:textId="77777777" w:rsidR="00F86AE5" w:rsidRPr="0083709C" w:rsidRDefault="00000000">
            <w:pPr>
              <w:spacing w:after="50"/>
              <w:ind w:left="125"/>
              <w:jc w:val="center"/>
            </w:pPr>
            <w:r w:rsidRPr="0083709C">
              <w:t xml:space="preserve"> </w:t>
            </w:r>
          </w:p>
          <w:p w14:paraId="0518E34D" w14:textId="6D3D0AA0" w:rsidR="00F86AE5" w:rsidRDefault="00B450E5">
            <w:pPr>
              <w:ind w:left="143"/>
              <w:jc w:val="center"/>
            </w:pPr>
            <w:r w:rsidRPr="00B450E5">
              <w:t xml:space="preserve">Dirección General de Presupuesto. (2023, 27 de junio). </w:t>
            </w:r>
            <w:r w:rsidRPr="00B450E5">
              <w:rPr>
                <w:i/>
                <w:iCs/>
              </w:rPr>
              <w:t>Educación Presupuestaria EP 19: ¿Qué es la estructura programática?</w:t>
            </w:r>
            <w:r w:rsidRPr="00B450E5">
              <w:t xml:space="preserve"> [Video]. YouTube. </w:t>
            </w:r>
            <w:hyperlink r:id="rId6" w:tgtFrame="_new" w:history="1">
              <w:r w:rsidRPr="00B450E5">
                <w:rPr>
                  <w:rStyle w:val="Hipervnculo"/>
                </w:rPr>
                <w:t>https://www.youtube.com/watch?v=xVeFd68owrc</w:t>
              </w:r>
            </w:hyperlink>
            <w:r w:rsidR="00000000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6D4A9CF" w14:textId="77777777" w:rsidR="00F86AE5" w:rsidRDefault="00000000">
            <w:pPr>
              <w:ind w:left="1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FC31D0F" w14:textId="77325B55" w:rsidR="00F86AE5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sz w:val="28"/>
              </w:rPr>
              <w:t>Publicado e</w:t>
            </w:r>
            <w:r w:rsidR="0083709C">
              <w:rPr>
                <w:rFonts w:ascii="Arial" w:eastAsia="Arial" w:hAnsi="Arial" w:cs="Arial"/>
                <w:sz w:val="28"/>
              </w:rPr>
              <w:t xml:space="preserve">l </w:t>
            </w:r>
            <w:r w:rsidR="00B450E5" w:rsidRPr="00B450E5">
              <w:rPr>
                <w:rFonts w:ascii="Arial" w:eastAsia="Arial" w:hAnsi="Arial" w:cs="Arial"/>
                <w:sz w:val="28"/>
              </w:rPr>
              <w:t>27 jun 2023</w:t>
            </w:r>
            <w:r>
              <w:rPr>
                <w:rFonts w:ascii="Arial" w:eastAsia="Arial" w:hAnsi="Arial" w:cs="Arial"/>
                <w:sz w:val="28"/>
              </w:rPr>
              <w:t xml:space="preserve">, </w:t>
            </w:r>
            <w:proofErr w:type="spellStart"/>
            <w:r w:rsidR="00B450E5" w:rsidRPr="00B450E5">
              <w:rPr>
                <w:rFonts w:ascii="Arial" w:eastAsia="Arial" w:hAnsi="Arial" w:cs="Arial"/>
                <w:sz w:val="28"/>
              </w:rPr>
              <w:t>direccion</w:t>
            </w:r>
            <w:proofErr w:type="spellEnd"/>
            <w:r w:rsidR="00B450E5" w:rsidRPr="00B450E5">
              <w:rPr>
                <w:rFonts w:ascii="Arial" w:eastAsia="Arial" w:hAnsi="Arial" w:cs="Arial"/>
                <w:sz w:val="28"/>
              </w:rPr>
              <w:t xml:space="preserve"> general del presupuesto</w:t>
            </w: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t xml:space="preserve"> </w:t>
            </w:r>
          </w:p>
          <w:p w14:paraId="4B3E6F30" w14:textId="77777777" w:rsidR="00F86AE5" w:rsidRDefault="00000000">
            <w:pPr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353C5AC2" w14:textId="77777777" w:rsidR="00F86AE5" w:rsidRDefault="00000000">
            <w:pPr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6772818B" w14:textId="77777777" w:rsidR="00F86AE5" w:rsidRDefault="00000000">
            <w:pPr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8CC3" w14:textId="5A7D0066" w:rsidR="00F86AE5" w:rsidRPr="00BE0C11" w:rsidRDefault="00B450E5">
            <w:pPr>
              <w:ind w:left="110"/>
              <w:rPr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El video </w:t>
            </w:r>
            <w:r w:rsidRPr="00B450E5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Educación Presupuestaria EP 19: ¿Qué es la estructura programática?</w:t>
            </w: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explica la estructura programática como un sistema para organizar el presupuesto público en programas y subprogramas que atienden objetivos estratégicos. Muestra la importancia de clasificar el gasto de forma transparente, asociarlo con metas medibles, y cómo esto contribuye a una gestión presupuestaria basada en resultados. El video enfatiza que la estructura facilita la rendición de cuentas y la evaluación del desempeño de los programas públicos. </w:t>
            </w:r>
            <w:r w:rsidR="0083709C" w:rsidRPr="00BE0C11">
              <w:rPr>
                <w:sz w:val="24"/>
                <w:szCs w:val="22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52E" w14:textId="75B4EABE" w:rsidR="00BE0C11" w:rsidRDefault="0083709C" w:rsidP="00BE0C11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Los problemas que aborda son:</w:t>
            </w:r>
          </w:p>
          <w:p w14:paraId="29D5B61C" w14:textId="77777777" w:rsidR="00B450E5" w:rsidRPr="00B450E5" w:rsidRDefault="00B450E5" w:rsidP="00B450E5">
            <w:pPr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Coherencia entre planes y presupuesto</w:t>
            </w: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>Sin una estructura bien definida, el presupuesto puede quedar desvinculado de las prioridades nacionales o sectoriales. La estructura programática alinea lo que se va a gastar con lo que se planificó.</w:t>
            </w:r>
          </w:p>
          <w:p w14:paraId="06B80993" w14:textId="77777777" w:rsidR="00B450E5" w:rsidRPr="00B450E5" w:rsidRDefault="00B450E5" w:rsidP="00B450E5">
            <w:pPr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Transparencia y rendición de cuentas</w:t>
            </w: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 xml:space="preserve">Permite que terceros (como órganos de fiscalización, legisladores o ciudadanía) vean </w:t>
            </w:r>
            <w:r w:rsidRPr="00B450E5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qué</w:t>
            </w: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se va a gastar en </w:t>
            </w:r>
            <w:r w:rsidRPr="00B450E5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qué tipo de programa</w:t>
            </w: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>, con qué objetivo, y bajo qué metas de desempeño.</w:t>
            </w:r>
          </w:p>
          <w:p w14:paraId="7784D174" w14:textId="641EF18E" w:rsidR="00F86AE5" w:rsidRPr="00BE0C11" w:rsidRDefault="00F86AE5" w:rsidP="0083709C">
            <w:pPr>
              <w:ind w:left="110"/>
              <w:rPr>
                <w:sz w:val="24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B79" w14:textId="77777777" w:rsidR="00F86AE5" w:rsidRPr="00B450E5" w:rsidRDefault="0083709C" w:rsidP="00BE0C11">
            <w:pPr>
              <w:spacing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Se puede aplicar en </w:t>
            </w:r>
          </w:p>
          <w:p w14:paraId="5029BCE0" w14:textId="31372800" w:rsidR="00B450E5" w:rsidRPr="00B450E5" w:rsidRDefault="00B450E5" w:rsidP="00B450E5">
            <w:pPr>
              <w:spacing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>  Gobiernos</w:t>
            </w:r>
            <w:proofErr w:type="gramEnd"/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federales, estatales o municipales para diseñar, revisar o supervisar presupuestos públicos que respondan a metas de desarrollo social o económico.</w:t>
            </w:r>
          </w:p>
          <w:p w14:paraId="6C3FCDB1" w14:textId="0C62C117" w:rsidR="00B450E5" w:rsidRPr="00B450E5" w:rsidRDefault="00B450E5" w:rsidP="00B450E5">
            <w:pPr>
              <w:spacing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>  Órganos</w:t>
            </w:r>
            <w:proofErr w:type="gramEnd"/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de fiscalización y auditoría revisar si las asignaciones presupuestarias efectivamente están asociadas a programas, metas e indicadores legales.</w:t>
            </w:r>
          </w:p>
          <w:p w14:paraId="66C2E3DA" w14:textId="780FE5B8" w:rsidR="00B450E5" w:rsidRPr="00B450E5" w:rsidRDefault="00B450E5" w:rsidP="00B450E5">
            <w:pPr>
              <w:spacing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>  Investigación en políticas públicas o administración pública para analizar la relación entre presupuesto asignado y resultados (eficacia, eficiencia).</w:t>
            </w:r>
          </w:p>
          <w:p w14:paraId="6EEEC7B3" w14:textId="688EFA6B" w:rsidR="0083709C" w:rsidRPr="00B450E5" w:rsidRDefault="0083709C" w:rsidP="00B450E5">
            <w:pPr>
              <w:spacing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450E5">
              <w:rPr>
                <w:rFonts w:ascii="Times New Roman" w:eastAsia="Times New Roman" w:hAnsi="Times New Roman" w:cs="Times New Roman"/>
                <w:sz w:val="24"/>
                <w:szCs w:val="22"/>
              </w:rPr>
              <w:t>.</w:t>
            </w:r>
          </w:p>
          <w:p w14:paraId="4BF71822" w14:textId="0A3E94D4" w:rsidR="0083709C" w:rsidRPr="00B450E5" w:rsidRDefault="0083709C" w:rsidP="0083709C">
            <w:pPr>
              <w:spacing w:line="262" w:lineRule="auto"/>
              <w:ind w:left="36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</w:tbl>
    <w:p w14:paraId="139B12D9" w14:textId="77777777" w:rsidR="00F86AE5" w:rsidRDefault="00000000">
      <w:pPr>
        <w:spacing w:after="0" w:line="249" w:lineRule="auto"/>
        <w:ind w:right="1087"/>
      </w:pPr>
      <w:r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18"/>
        </w:rPr>
        <w:t>Pantoja y Perazzo (2017). Diplomado de Competencias Docentes. Utilización de formato de ficha adaptado sólo para fines académico</w:t>
      </w:r>
      <w:r>
        <w:t xml:space="preserve"> </w:t>
      </w:r>
    </w:p>
    <w:sectPr w:rsidR="00F86AE5">
      <w:pgSz w:w="12240" w:h="15840"/>
      <w:pgMar w:top="1440" w:right="76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A70"/>
    <w:multiLevelType w:val="multilevel"/>
    <w:tmpl w:val="24F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71B8"/>
    <w:multiLevelType w:val="multilevel"/>
    <w:tmpl w:val="017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696F"/>
    <w:multiLevelType w:val="multilevel"/>
    <w:tmpl w:val="2FD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872C8"/>
    <w:multiLevelType w:val="multilevel"/>
    <w:tmpl w:val="814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20C89"/>
    <w:multiLevelType w:val="multilevel"/>
    <w:tmpl w:val="202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A6474"/>
    <w:multiLevelType w:val="multilevel"/>
    <w:tmpl w:val="ED92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037643">
    <w:abstractNumId w:val="4"/>
  </w:num>
  <w:num w:numId="2" w16cid:durableId="1612662775">
    <w:abstractNumId w:val="3"/>
  </w:num>
  <w:num w:numId="3" w16cid:durableId="607197160">
    <w:abstractNumId w:val="2"/>
  </w:num>
  <w:num w:numId="4" w16cid:durableId="1788161426">
    <w:abstractNumId w:val="1"/>
  </w:num>
  <w:num w:numId="5" w16cid:durableId="1095632576">
    <w:abstractNumId w:val="0"/>
  </w:num>
  <w:num w:numId="6" w16cid:durableId="764690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E5"/>
    <w:rsid w:val="00474D0D"/>
    <w:rsid w:val="004759C7"/>
    <w:rsid w:val="0083709C"/>
    <w:rsid w:val="009A4C29"/>
    <w:rsid w:val="00B450E5"/>
    <w:rsid w:val="00BE0C11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DF4"/>
  <w15:docId w15:val="{7A90B9C1-3E84-4CE0-AD98-1ED2480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0C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eFd68owrc&amp;utm_source=chatgp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cp:lastModifiedBy>Lizbeth Lopez</cp:lastModifiedBy>
  <cp:revision>2</cp:revision>
  <cp:lastPrinted>2025-10-16T03:29:00Z</cp:lastPrinted>
  <dcterms:created xsi:type="dcterms:W3CDTF">2025-10-16T04:06:00Z</dcterms:created>
  <dcterms:modified xsi:type="dcterms:W3CDTF">2025-10-16T04:06:00Z</dcterms:modified>
</cp:coreProperties>
</file>